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60272AF9"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77F98">
        <w:rPr>
          <w:rFonts w:ascii="Times New Roman" w:hAnsi="Times New Roman"/>
          <w:sz w:val="20"/>
          <w:szCs w:val="20"/>
        </w:rPr>
        <w:t>Анализаторы спектра</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416EE201"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577F98">
        <w:rPr>
          <w:rFonts w:ascii="Times New Roman" w:hAnsi="Times New Roman"/>
          <w:sz w:val="20"/>
          <w:szCs w:val="20"/>
        </w:rPr>
        <w:t>628</w:t>
      </w:r>
      <w:r w:rsidR="008444C8">
        <w:rPr>
          <w:rFonts w:ascii="Times New Roman" w:hAnsi="Times New Roman"/>
          <w:sz w:val="20"/>
          <w:szCs w:val="20"/>
        </w:rPr>
        <w:t>.</w:t>
      </w:r>
      <w:r w:rsidR="00577F98">
        <w:rPr>
          <w:rFonts w:ascii="Times New Roman" w:hAnsi="Times New Roman"/>
          <w:sz w:val="20"/>
          <w:szCs w:val="20"/>
        </w:rPr>
        <w:t xml:space="preserve">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577F98">
        <w:rPr>
          <w:rFonts w:ascii="Times New Roman" w:hAnsi="Times New Roman"/>
          <w:sz w:val="20"/>
          <w:szCs w:val="20"/>
        </w:rPr>
        <w:t>Анализаторы спектра</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7076C2AC"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577F98">
        <w:rPr>
          <w:rFonts w:ascii="Times New Roman" w:hAnsi="Times New Roman"/>
          <w:b/>
          <w:sz w:val="20"/>
          <w:szCs w:val="20"/>
        </w:rPr>
        <w:t>42  357 926</w:t>
      </w:r>
      <w:r w:rsidR="00A619C9" w:rsidRPr="005B580C">
        <w:rPr>
          <w:rFonts w:ascii="Times New Roman" w:hAnsi="Times New Roman"/>
          <w:sz w:val="20"/>
          <w:szCs w:val="20"/>
        </w:rPr>
        <w:t xml:space="preserve"> (</w:t>
      </w:r>
      <w:r w:rsidR="00577F98">
        <w:rPr>
          <w:rFonts w:ascii="Times New Roman" w:hAnsi="Times New Roman"/>
          <w:sz w:val="20"/>
          <w:szCs w:val="20"/>
        </w:rPr>
        <w:t>сорок два миллиона триста пятьдесят семь тысяч девятьсот двадцать шесть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6D15E8AB"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577F98">
        <w:rPr>
          <w:rFonts w:ascii="Times New Roman" w:hAnsi="Times New Roman"/>
          <w:sz w:val="20"/>
          <w:szCs w:val="20"/>
        </w:rPr>
        <w:t>211 790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1E25EC49"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577F98">
        <w:rPr>
          <w:rStyle w:val="afffff5"/>
          <w:rFonts w:ascii="Times New Roman" w:hAnsi="Times New Roman"/>
          <w:sz w:val="20"/>
          <w:szCs w:val="20"/>
        </w:rPr>
        <w:t>628</w:t>
      </w:r>
    </w:p>
    <w:p w14:paraId="5EA8EE7F" w14:textId="342B893E"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577F98">
        <w:rPr>
          <w:rFonts w:ascii="Times New Roman" w:hAnsi="Times New Roman"/>
          <w:b/>
          <w:bCs/>
          <w:smallCaps/>
          <w:spacing w:val="5"/>
          <w:sz w:val="20"/>
          <w:szCs w:val="20"/>
        </w:rPr>
        <w:t>Анализаторы спектра</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AC0246">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AC0246">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AC0246">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AC0246">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AC0246">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AC0246">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AC0246">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AC0246">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AC0246">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AC0246">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AC0246">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AC0246">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AC0246">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AC0246">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AC0246">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AC0246">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AC0246">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AC0246">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AC0246">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AC0246">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AC0246">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AC0246">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AC0246">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AC0246">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AC0246">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AC0246">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AC0246">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AC0246">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AC0246">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AC0246">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AC0246">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AC0246">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AC0246">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AC0246">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AC0246">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AC0246">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AC0246">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AC0246">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AC0246">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AC0246">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577F98">
        <w:trPr>
          <w:trHeight w:val="641"/>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8D84694"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577F98">
              <w:rPr>
                <w:rFonts w:ascii="Times New Roman" w:hAnsi="Times New Roman"/>
                <w:bCs/>
                <w:sz w:val="20"/>
                <w:szCs w:val="20"/>
              </w:rPr>
              <w:t>628</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577F98" w:rsidRPr="00577F98">
              <w:rPr>
                <w:rFonts w:ascii="Times New Roman" w:hAnsi="Times New Roman"/>
                <w:bCs/>
                <w:sz w:val="20"/>
                <w:szCs w:val="20"/>
              </w:rPr>
              <w:t>Анализаторы спектра</w:t>
            </w:r>
          </w:p>
          <w:p w14:paraId="37168A85" w14:textId="66F08D17" w:rsidR="00B31DDE" w:rsidRPr="005B580C" w:rsidRDefault="00B31DDE" w:rsidP="00577F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577F98">
              <w:rPr>
                <w:rFonts w:ascii="Times New Roman" w:hAnsi="Times New Roman"/>
                <w:b/>
                <w:color w:val="000099"/>
                <w:sz w:val="20"/>
                <w:szCs w:val="20"/>
              </w:rPr>
              <w:t>.41.140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7E8C63CA" w:rsidR="0075298C" w:rsidRPr="005B580C" w:rsidRDefault="0075298C" w:rsidP="00577F98">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577F98">
              <w:rPr>
                <w:rFonts w:ascii="Times New Roman" w:hAnsi="Times New Roman"/>
                <w:bCs/>
                <w:sz w:val="20"/>
                <w:szCs w:val="20"/>
              </w:rPr>
              <w:t>628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C74FB87" w:rsidR="0075298C" w:rsidRPr="005B580C" w:rsidRDefault="00577F98" w:rsidP="00577F98">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42 357 826</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сорок два миллиона триста пятьдесят семь тысяч восемьсот двадцать шесть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9105DA" w:rsidRPr="005B580C" w14:paraId="31CB707C" w14:textId="77777777" w:rsidTr="0096225E">
        <w:trPr>
          <w:trHeight w:val="397"/>
        </w:trPr>
        <w:tc>
          <w:tcPr>
            <w:tcW w:w="567" w:type="dxa"/>
            <w:shd w:val="clear" w:color="auto" w:fill="auto"/>
          </w:tcPr>
          <w:p w14:paraId="6BDEBB71" w14:textId="77777777" w:rsidR="009105DA" w:rsidRPr="005B580C" w:rsidRDefault="009105DA"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9105DA" w:rsidRPr="005B580C" w:rsidRDefault="009105DA"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4ABC997F" w14:textId="77777777" w:rsidR="009105DA" w:rsidRPr="00D2655B" w:rsidRDefault="009105DA" w:rsidP="00CC5BC2">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9105DA" w:rsidRPr="005B580C" w:rsidRDefault="009105DA"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36C2F5A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577F98">
              <w:rPr>
                <w:rFonts w:ascii="Times New Roman" w:hAnsi="Times New Roman"/>
                <w:sz w:val="20"/>
                <w:szCs w:val="20"/>
              </w:rPr>
              <w:t>211 790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2FD95587" w:rsidR="00EE2B89" w:rsidRPr="005B580C" w:rsidRDefault="00AC0246"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AC0246"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AC0246"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AC0246"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AC0246"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AC0246"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AC0246"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455BB395" w:rsidR="0004037E" w:rsidRPr="005B580C" w:rsidRDefault="00B54734" w:rsidP="008D049B">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8D049B">
              <w:rPr>
                <w:rFonts w:ascii="Times New Roman" w:hAnsi="Times New Roman"/>
                <w:sz w:val="20"/>
                <w:szCs w:val="20"/>
              </w:rPr>
              <w:t>3</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4F12A666" w:rsidR="00AE4822" w:rsidRPr="005B580C" w:rsidRDefault="00AC0246"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bookmarkStart w:id="581" w:name="_GoBack"/>
            <w:bookmarkEnd w:id="581"/>
          </w:p>
        </w:tc>
      </w:tr>
      <w:tr w:rsidR="009105DA" w:rsidRPr="005B580C" w14:paraId="5CDCBB88" w14:textId="77777777" w:rsidTr="00787453">
        <w:tc>
          <w:tcPr>
            <w:tcW w:w="959" w:type="dxa"/>
          </w:tcPr>
          <w:p w14:paraId="0C612AA7" w14:textId="77777777" w:rsidR="009105DA" w:rsidRPr="005B580C" w:rsidRDefault="009105DA"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B134572" w14:textId="77777777" w:rsidR="009105DA" w:rsidRDefault="009105DA" w:rsidP="009105D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06AE0404" w14:textId="4D5BF59D" w:rsidR="009105DA" w:rsidRPr="005B580C" w:rsidRDefault="009105DA" w:rsidP="009105DA">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9F646F1" w:rsidR="00366344" w:rsidRPr="005B580C" w:rsidRDefault="00F81BE9" w:rsidP="0036239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362396">
              <w:rPr>
                <w:rFonts w:ascii="Times New Roman" w:eastAsiaTheme="majorEastAsia" w:hAnsi="Times New Roman"/>
                <w:bCs/>
                <w:sz w:val="20"/>
                <w:szCs w:val="20"/>
              </w:rPr>
              <w:t>Анализаторы спектра</w:t>
            </w:r>
          </w:p>
        </w:tc>
        <w:tc>
          <w:tcPr>
            <w:tcW w:w="3305" w:type="dxa"/>
          </w:tcPr>
          <w:p w14:paraId="0EC266F7" w14:textId="26B095C1" w:rsidR="00366344" w:rsidRPr="002451E2" w:rsidRDefault="00362396" w:rsidP="00362396">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42 357 826</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сорок два миллиона триста пятьдесят семь тысяч восемьсот двадцать шесть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CD6BCD" w:rsidRPr="005B580C" w14:paraId="20A4F62D" w14:textId="77777777" w:rsidTr="00EB6F67">
        <w:tc>
          <w:tcPr>
            <w:tcW w:w="6771" w:type="dxa"/>
            <w:gridSpan w:val="2"/>
          </w:tcPr>
          <w:p w14:paraId="4BAE8766" w14:textId="77777777" w:rsidR="00CD6BCD" w:rsidRPr="005B580C" w:rsidRDefault="00CD6BCD"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FF0600F" w:rsidR="00CD6BCD" w:rsidRPr="002451E2" w:rsidRDefault="00362396" w:rsidP="00CD6BCD">
            <w:pPr>
              <w:rPr>
                <w:rFonts w:ascii="Times New Roman" w:eastAsia="Times New Roman" w:hAnsi="Times New Roman"/>
                <w:i/>
                <w:sz w:val="20"/>
                <w:szCs w:val="20"/>
                <w:lang w:eastAsia="ru-RU"/>
              </w:rPr>
            </w:pPr>
            <w:r w:rsidRPr="00362396">
              <w:rPr>
                <w:rFonts w:ascii="Times New Roman" w:eastAsia="Times New Roman" w:hAnsi="Times New Roman"/>
                <w:i/>
                <w:sz w:val="20"/>
                <w:szCs w:val="20"/>
                <w:lang w:eastAsia="ru-RU"/>
              </w:rPr>
              <w:t>42 357 826 (сорок два миллиона триста пятьдесят семь тысяч восемьсот двадцать шесть)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1D1841A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362396">
        <w:rPr>
          <w:rFonts w:ascii="Times New Roman" w:hAnsi="Times New Roman"/>
          <w:iCs/>
          <w:snapToGrid w:val="0"/>
          <w:sz w:val="20"/>
          <w:szCs w:val="20"/>
        </w:rPr>
        <w:t>Анализаторы спектра</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62396">
        <w:tc>
          <w:tcPr>
            <w:tcW w:w="675" w:type="dxa"/>
            <w:shd w:val="clear" w:color="auto" w:fill="auto"/>
            <w:vAlign w:val="center"/>
          </w:tcPr>
          <w:p w14:paraId="1809D06D" w14:textId="77777777" w:rsidR="00CD6BCD" w:rsidRPr="00D2655B" w:rsidRDefault="00CD6BCD"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362396" w:rsidRPr="00D2655B" w14:paraId="796199D0" w14:textId="77777777" w:rsidTr="00362396">
        <w:trPr>
          <w:gridAfter w:val="1"/>
          <w:wAfter w:w="35" w:type="dxa"/>
        </w:trPr>
        <w:tc>
          <w:tcPr>
            <w:tcW w:w="675" w:type="dxa"/>
            <w:vMerge w:val="restart"/>
            <w:shd w:val="clear" w:color="auto" w:fill="auto"/>
          </w:tcPr>
          <w:p w14:paraId="5C892121"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4616B7D2" w:rsidR="00362396" w:rsidRPr="00362396" w:rsidRDefault="00362396" w:rsidP="00577F98">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Частотный диапазон</w:t>
            </w:r>
          </w:p>
        </w:tc>
        <w:tc>
          <w:tcPr>
            <w:tcW w:w="2226" w:type="dxa"/>
          </w:tcPr>
          <w:p w14:paraId="3DE79C3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1D2F3818" w14:textId="77777777" w:rsidTr="00362396">
        <w:trPr>
          <w:gridAfter w:val="1"/>
          <w:wAfter w:w="35" w:type="dxa"/>
        </w:trPr>
        <w:tc>
          <w:tcPr>
            <w:tcW w:w="675" w:type="dxa"/>
            <w:vMerge/>
            <w:shd w:val="clear" w:color="auto" w:fill="auto"/>
          </w:tcPr>
          <w:p w14:paraId="3056AF9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6358A540" w:rsidR="00362396" w:rsidRPr="00362396" w:rsidRDefault="00362396" w:rsidP="00577F98">
            <w:pPr>
              <w:spacing w:after="0" w:line="240" w:lineRule="auto"/>
              <w:jc w:val="both"/>
              <w:rPr>
                <w:rFonts w:ascii="Times New Roman" w:eastAsia="Times New Roman" w:hAnsi="Times New Roman"/>
                <w:snapToGrid w:val="0"/>
                <w:sz w:val="18"/>
                <w:szCs w:val="18"/>
                <w:lang w:eastAsia="ru-RU"/>
              </w:rPr>
            </w:pPr>
            <w:r w:rsidRPr="00362396">
              <w:rPr>
                <w:rFonts w:ascii="Times New Roman" w:hAnsi="Times New Roman"/>
                <w:sz w:val="18"/>
                <w:szCs w:val="18"/>
              </w:rPr>
              <w:t xml:space="preserve">Пределы допускаемой относительной погрешности воспроизведения частоты опорного генератора за год </w:t>
            </w:r>
            <w:r w:rsidRPr="00362396">
              <w:rPr>
                <w:rFonts w:ascii="Times New Roman" w:hAnsi="Times New Roman"/>
                <w:sz w:val="18"/>
                <w:szCs w:val="18"/>
              </w:rPr>
              <w:lastRenderedPageBreak/>
              <w:t>(долговременная стабильность частоты опорн</w:t>
            </w:r>
            <w:r>
              <w:rPr>
                <w:rFonts w:ascii="Times New Roman" w:hAnsi="Times New Roman"/>
                <w:sz w:val="18"/>
                <w:szCs w:val="18"/>
              </w:rPr>
              <w:t>ого генератора за год)</w:t>
            </w:r>
          </w:p>
        </w:tc>
        <w:tc>
          <w:tcPr>
            <w:tcW w:w="2226" w:type="dxa"/>
          </w:tcPr>
          <w:p w14:paraId="58FA80E2"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78B27D05" w14:textId="77777777" w:rsidTr="00362396">
        <w:trPr>
          <w:gridAfter w:val="1"/>
          <w:wAfter w:w="35" w:type="dxa"/>
        </w:trPr>
        <w:tc>
          <w:tcPr>
            <w:tcW w:w="675" w:type="dxa"/>
            <w:vMerge/>
            <w:shd w:val="clear" w:color="auto" w:fill="auto"/>
          </w:tcPr>
          <w:p w14:paraId="3787A9F7"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4A83C3FC" w:rsidR="00362396" w:rsidRPr="00362396" w:rsidRDefault="00362396" w:rsidP="00577F98">
            <w:pPr>
              <w:spacing w:after="0" w:line="240" w:lineRule="auto"/>
              <w:jc w:val="both"/>
              <w:rPr>
                <w:rFonts w:ascii="Times New Roman" w:eastAsia="Times New Roman" w:hAnsi="Times New Roman"/>
                <w:snapToGrid w:val="0"/>
                <w:sz w:val="18"/>
                <w:szCs w:val="18"/>
                <w:lang w:eastAsia="ru-RU"/>
              </w:rPr>
            </w:pPr>
            <w:r w:rsidRPr="00362396">
              <w:rPr>
                <w:rFonts w:ascii="Times New Roman" w:hAnsi="Times New Roman"/>
                <w:sz w:val="18"/>
                <w:szCs w:val="18"/>
              </w:rPr>
              <w:t>Максимальная поло</w:t>
            </w:r>
            <w:r>
              <w:rPr>
                <w:rFonts w:ascii="Times New Roman" w:hAnsi="Times New Roman"/>
                <w:sz w:val="18"/>
                <w:szCs w:val="18"/>
              </w:rPr>
              <w:t>са анализа (демодуляции)</w:t>
            </w:r>
          </w:p>
        </w:tc>
        <w:tc>
          <w:tcPr>
            <w:tcW w:w="2226" w:type="dxa"/>
          </w:tcPr>
          <w:p w14:paraId="7541CF16"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08F31B0E" w14:textId="77777777" w:rsidTr="00362396">
        <w:trPr>
          <w:gridAfter w:val="1"/>
          <w:wAfter w:w="35" w:type="dxa"/>
        </w:trPr>
        <w:tc>
          <w:tcPr>
            <w:tcW w:w="675" w:type="dxa"/>
            <w:vMerge/>
            <w:shd w:val="clear" w:color="auto" w:fill="auto"/>
          </w:tcPr>
          <w:p w14:paraId="3107BC2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43D206EC" w14:textId="77777777" w:rsidR="00362396" w:rsidRPr="00362396" w:rsidRDefault="00362396" w:rsidP="00362396">
            <w:pPr>
              <w:spacing w:after="0"/>
              <w:contextualSpacing/>
              <w:rPr>
                <w:rFonts w:ascii="Times New Roman" w:hAnsi="Times New Roman"/>
                <w:sz w:val="18"/>
                <w:szCs w:val="18"/>
              </w:rPr>
            </w:pPr>
            <w:r w:rsidRPr="00362396">
              <w:rPr>
                <w:rFonts w:ascii="Times New Roman" w:hAnsi="Times New Roman"/>
                <w:sz w:val="18"/>
                <w:szCs w:val="18"/>
              </w:rPr>
              <w:t xml:space="preserve">Номинальные значения полос пропускания на уровне </w:t>
            </w:r>
          </w:p>
          <w:p w14:paraId="6B607049" w14:textId="77777777" w:rsidR="00362396" w:rsidRPr="00362396" w:rsidRDefault="00362396" w:rsidP="00362396">
            <w:pPr>
              <w:spacing w:after="0"/>
              <w:contextualSpacing/>
              <w:rPr>
                <w:rFonts w:ascii="Times New Roman" w:hAnsi="Times New Roman"/>
                <w:sz w:val="18"/>
                <w:szCs w:val="18"/>
              </w:rPr>
            </w:pPr>
            <w:r w:rsidRPr="00362396">
              <w:rPr>
                <w:rFonts w:ascii="Times New Roman" w:hAnsi="Times New Roman"/>
                <w:sz w:val="18"/>
                <w:szCs w:val="18"/>
              </w:rPr>
              <w:t>Минус 3 дБ в диапазоне, не уже:</w:t>
            </w:r>
          </w:p>
          <w:p w14:paraId="0485F08F" w14:textId="6DC09794" w:rsidR="00362396" w:rsidRPr="00362396" w:rsidRDefault="00362396" w:rsidP="00362396">
            <w:pPr>
              <w:spacing w:after="0" w:line="240" w:lineRule="auto"/>
              <w:contextualSpacing/>
              <w:jc w:val="both"/>
              <w:rPr>
                <w:rFonts w:ascii="Times New Roman" w:eastAsia="Times New Roman" w:hAnsi="Times New Roman"/>
                <w:snapToGrid w:val="0"/>
                <w:sz w:val="18"/>
                <w:szCs w:val="18"/>
                <w:lang w:eastAsia="ru-RU"/>
              </w:rPr>
            </w:pPr>
            <w:r w:rsidRPr="00362396">
              <w:rPr>
                <w:rFonts w:ascii="Times New Roman" w:hAnsi="Times New Roman"/>
                <w:sz w:val="18"/>
                <w:szCs w:val="18"/>
              </w:rPr>
              <w:t>- в полосе обзора от 10 Гц до максимальной частоты;</w:t>
            </w:r>
          </w:p>
        </w:tc>
        <w:tc>
          <w:tcPr>
            <w:tcW w:w="2226" w:type="dxa"/>
          </w:tcPr>
          <w:p w14:paraId="216A600A"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3F158E03" w14:textId="77777777" w:rsidTr="00362396">
        <w:trPr>
          <w:gridAfter w:val="1"/>
          <w:wAfter w:w="35" w:type="dxa"/>
        </w:trPr>
        <w:tc>
          <w:tcPr>
            <w:tcW w:w="675" w:type="dxa"/>
            <w:vMerge/>
            <w:shd w:val="clear" w:color="auto" w:fill="auto"/>
          </w:tcPr>
          <w:p w14:paraId="72731695"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44365661"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39C91A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588C2894" w14:textId="2B209E3E"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w:t>
            </w:r>
          </w:p>
        </w:tc>
        <w:tc>
          <w:tcPr>
            <w:tcW w:w="3586" w:type="dxa"/>
          </w:tcPr>
          <w:p w14:paraId="1083FABC" w14:textId="77777777" w:rsidR="00362396" w:rsidRPr="00362396" w:rsidRDefault="00362396" w:rsidP="00362396">
            <w:pPr>
              <w:spacing w:after="0"/>
              <w:contextualSpacing/>
              <w:rPr>
                <w:rFonts w:ascii="Times New Roman" w:hAnsi="Times New Roman"/>
                <w:sz w:val="18"/>
                <w:szCs w:val="18"/>
              </w:rPr>
            </w:pPr>
            <w:r w:rsidRPr="00362396">
              <w:rPr>
                <w:rFonts w:ascii="Times New Roman" w:hAnsi="Times New Roman"/>
                <w:sz w:val="18"/>
                <w:szCs w:val="18"/>
              </w:rPr>
              <w:t>Средний уровень (мощность) собственных шумов при ослаблении  входного аттенюатора 0 дБ, дБ относительно 1 мВт (</w:t>
            </w:r>
            <w:proofErr w:type="spellStart"/>
            <w:r w:rsidRPr="00362396">
              <w:rPr>
                <w:rFonts w:ascii="Times New Roman" w:hAnsi="Times New Roman"/>
                <w:sz w:val="18"/>
                <w:szCs w:val="18"/>
              </w:rPr>
              <w:t>дБм</w:t>
            </w:r>
            <w:proofErr w:type="spellEnd"/>
            <w:r w:rsidRPr="00362396">
              <w:rPr>
                <w:rFonts w:ascii="Times New Roman" w:hAnsi="Times New Roman"/>
                <w:sz w:val="18"/>
                <w:szCs w:val="18"/>
              </w:rPr>
              <w:t xml:space="preserve">) или значения среднего уровня собственных шумов на входе 50 Ом </w:t>
            </w:r>
          </w:p>
          <w:p w14:paraId="13FD941A" w14:textId="44A442E1" w:rsidR="00362396" w:rsidRPr="00362396" w:rsidRDefault="00362396" w:rsidP="00362396">
            <w:pPr>
              <w:spacing w:after="0" w:line="240" w:lineRule="auto"/>
              <w:contextualSpacing/>
              <w:jc w:val="both"/>
              <w:rPr>
                <w:rFonts w:ascii="Times New Roman" w:eastAsia="Times New Roman" w:hAnsi="Times New Roman"/>
                <w:snapToGrid w:val="0"/>
                <w:sz w:val="18"/>
                <w:szCs w:val="18"/>
                <w:lang w:eastAsia="ru-RU"/>
              </w:rPr>
            </w:pPr>
            <w:r>
              <w:rPr>
                <w:rFonts w:ascii="Times New Roman" w:hAnsi="Times New Roman"/>
                <w:sz w:val="18"/>
                <w:szCs w:val="18"/>
              </w:rPr>
              <w:t>в диапазоне частот</w:t>
            </w:r>
            <w:r w:rsidRPr="00362396">
              <w:rPr>
                <w:rFonts w:ascii="Times New Roman" w:hAnsi="Times New Roman"/>
                <w:sz w:val="18"/>
                <w:szCs w:val="18"/>
              </w:rPr>
              <w:t>:</w:t>
            </w:r>
          </w:p>
        </w:tc>
        <w:tc>
          <w:tcPr>
            <w:tcW w:w="2226" w:type="dxa"/>
          </w:tcPr>
          <w:p w14:paraId="0227773A"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1831E329" w14:textId="77777777" w:rsidTr="00362396">
        <w:trPr>
          <w:gridAfter w:val="1"/>
          <w:wAfter w:w="35" w:type="dxa"/>
        </w:trPr>
        <w:tc>
          <w:tcPr>
            <w:tcW w:w="675" w:type="dxa"/>
            <w:vMerge/>
            <w:shd w:val="clear" w:color="auto" w:fill="auto"/>
          </w:tcPr>
          <w:p w14:paraId="3DE4D3E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1D638AE4"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w:t>
            </w:r>
          </w:p>
        </w:tc>
        <w:tc>
          <w:tcPr>
            <w:tcW w:w="3586" w:type="dxa"/>
          </w:tcPr>
          <w:p w14:paraId="78E6F83C" w14:textId="77777777" w:rsidR="00362396" w:rsidRPr="00362396" w:rsidRDefault="00362396" w:rsidP="00362396">
            <w:pPr>
              <w:spacing w:after="0"/>
              <w:contextualSpacing/>
              <w:rPr>
                <w:rFonts w:ascii="Times New Roman" w:hAnsi="Times New Roman"/>
                <w:sz w:val="18"/>
                <w:szCs w:val="18"/>
              </w:rPr>
            </w:pPr>
            <w:r w:rsidRPr="00362396">
              <w:rPr>
                <w:rFonts w:ascii="Times New Roman" w:hAnsi="Times New Roman"/>
                <w:sz w:val="18"/>
                <w:szCs w:val="18"/>
              </w:rPr>
              <w:t xml:space="preserve">Средний уровень фазовых шумов относительно основного немодулированного сигнала </w:t>
            </w:r>
          </w:p>
          <w:p w14:paraId="2168FBD4" w14:textId="0A98E823" w:rsidR="00362396" w:rsidRPr="00362396" w:rsidRDefault="00362396" w:rsidP="00362396">
            <w:pPr>
              <w:spacing w:after="0" w:line="240" w:lineRule="auto"/>
              <w:contextualSpacing/>
              <w:jc w:val="both"/>
              <w:rPr>
                <w:rFonts w:ascii="Times New Roman" w:eastAsia="Times New Roman" w:hAnsi="Times New Roman"/>
                <w:snapToGrid w:val="0"/>
                <w:sz w:val="18"/>
                <w:szCs w:val="18"/>
                <w:lang w:eastAsia="ru-RU"/>
              </w:rPr>
            </w:pPr>
            <w:r w:rsidRPr="00362396">
              <w:rPr>
                <w:rFonts w:ascii="Times New Roman" w:hAnsi="Times New Roman"/>
                <w:sz w:val="18"/>
                <w:szCs w:val="18"/>
              </w:rPr>
              <w:t xml:space="preserve">при несущей 500 МГц или 1 ГГц </w:t>
            </w:r>
            <w:r>
              <w:rPr>
                <w:rFonts w:ascii="Times New Roman" w:hAnsi="Times New Roman"/>
                <w:sz w:val="18"/>
                <w:szCs w:val="18"/>
              </w:rPr>
              <w:t>и отстройке 10 кГц</w:t>
            </w:r>
          </w:p>
        </w:tc>
        <w:tc>
          <w:tcPr>
            <w:tcW w:w="2226" w:type="dxa"/>
          </w:tcPr>
          <w:p w14:paraId="5391B74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7356D201" w14:textId="77777777" w:rsidTr="00362396">
        <w:trPr>
          <w:gridAfter w:val="1"/>
          <w:wAfter w:w="35" w:type="dxa"/>
        </w:trPr>
        <w:tc>
          <w:tcPr>
            <w:tcW w:w="675" w:type="dxa"/>
            <w:vMerge/>
            <w:shd w:val="clear" w:color="auto" w:fill="auto"/>
          </w:tcPr>
          <w:p w14:paraId="4CE45BB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0BB32425" w14:textId="5A4EEE5D" w:rsidR="00362396" w:rsidRPr="00362396" w:rsidRDefault="00362396" w:rsidP="00362396">
            <w:pPr>
              <w:spacing w:after="0" w:line="240" w:lineRule="auto"/>
              <w:jc w:val="both"/>
              <w:rPr>
                <w:rFonts w:ascii="Times New Roman" w:eastAsia="Times New Roman" w:hAnsi="Times New Roman"/>
                <w:snapToGrid w:val="0"/>
                <w:sz w:val="18"/>
                <w:szCs w:val="18"/>
                <w:lang w:eastAsia="ru-RU"/>
              </w:rPr>
            </w:pPr>
            <w:r w:rsidRPr="00362396">
              <w:rPr>
                <w:rFonts w:ascii="Times New Roman" w:hAnsi="Times New Roman"/>
                <w:sz w:val="18"/>
                <w:szCs w:val="18"/>
              </w:rPr>
              <w:t>Пределы основной допускаемой абсолютной погрешности измерений уровня (мощности) на опорной частоте</w:t>
            </w:r>
          </w:p>
        </w:tc>
        <w:tc>
          <w:tcPr>
            <w:tcW w:w="2226" w:type="dxa"/>
          </w:tcPr>
          <w:p w14:paraId="727E538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47BA0D66" w14:textId="77777777" w:rsidTr="00362396">
        <w:trPr>
          <w:gridAfter w:val="1"/>
          <w:wAfter w:w="35" w:type="dxa"/>
        </w:trPr>
        <w:tc>
          <w:tcPr>
            <w:tcW w:w="675" w:type="dxa"/>
            <w:vMerge/>
            <w:shd w:val="clear" w:color="auto" w:fill="auto"/>
          </w:tcPr>
          <w:p w14:paraId="64C37582"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797C719C" w14:textId="77777777" w:rsidR="00362396" w:rsidRPr="00362396" w:rsidRDefault="00362396" w:rsidP="00362396">
            <w:pPr>
              <w:spacing w:after="0"/>
              <w:contextualSpacing/>
              <w:rPr>
                <w:rFonts w:ascii="Times New Roman" w:hAnsi="Times New Roman"/>
                <w:sz w:val="18"/>
                <w:szCs w:val="18"/>
              </w:rPr>
            </w:pPr>
            <w:r w:rsidRPr="00362396">
              <w:rPr>
                <w:rFonts w:ascii="Times New Roman" w:hAnsi="Times New Roman"/>
                <w:sz w:val="18"/>
                <w:szCs w:val="18"/>
              </w:rPr>
              <w:t>Пределы допускаемой абсолютной погрешности</w:t>
            </w:r>
          </w:p>
          <w:p w14:paraId="319162B6" w14:textId="61382DF8" w:rsidR="00362396" w:rsidRPr="00362396" w:rsidRDefault="00362396" w:rsidP="00362396">
            <w:pPr>
              <w:spacing w:after="0" w:line="240" w:lineRule="auto"/>
              <w:contextualSpacing/>
              <w:jc w:val="both"/>
              <w:rPr>
                <w:rFonts w:ascii="Times New Roman" w:eastAsia="Times New Roman" w:hAnsi="Times New Roman"/>
                <w:snapToGrid w:val="0"/>
                <w:sz w:val="18"/>
                <w:szCs w:val="18"/>
                <w:lang w:eastAsia="ru-RU"/>
              </w:rPr>
            </w:pPr>
            <w:r w:rsidRPr="00362396">
              <w:rPr>
                <w:rFonts w:ascii="Times New Roman" w:hAnsi="Times New Roman"/>
                <w:sz w:val="18"/>
                <w:szCs w:val="18"/>
              </w:rPr>
              <w:t>из-за переключ</w:t>
            </w:r>
            <w:r>
              <w:rPr>
                <w:rFonts w:ascii="Times New Roman" w:hAnsi="Times New Roman"/>
                <w:sz w:val="18"/>
                <w:szCs w:val="18"/>
              </w:rPr>
              <w:t>ений полос пропускания</w:t>
            </w:r>
          </w:p>
        </w:tc>
        <w:tc>
          <w:tcPr>
            <w:tcW w:w="2226" w:type="dxa"/>
          </w:tcPr>
          <w:p w14:paraId="31849E4F"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D3173F" w:rsidRPr="00D2655B" w14:paraId="2BBEE68C" w14:textId="77777777" w:rsidTr="00651F57">
        <w:trPr>
          <w:gridAfter w:val="1"/>
          <w:wAfter w:w="35" w:type="dxa"/>
        </w:trPr>
        <w:tc>
          <w:tcPr>
            <w:tcW w:w="675" w:type="dxa"/>
            <w:vMerge w:val="restart"/>
            <w:shd w:val="clear" w:color="auto" w:fill="auto"/>
          </w:tcPr>
          <w:p w14:paraId="12B594A2"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1594" w:type="dxa"/>
            <w:vMerge w:val="restart"/>
            <w:tcBorders>
              <w:top w:val="nil"/>
            </w:tcBorders>
          </w:tcPr>
          <w:p w14:paraId="5B13D421" w14:textId="77777777" w:rsidR="00D3173F" w:rsidRDefault="00D3173F" w:rsidP="00577F98">
            <w:pPr>
              <w:spacing w:after="0" w:line="240" w:lineRule="auto"/>
              <w:jc w:val="both"/>
              <w:rPr>
                <w:rFonts w:ascii="Times New Roman" w:eastAsia="Times New Roman" w:hAnsi="Times New Roman"/>
                <w:snapToGrid w:val="0"/>
                <w:sz w:val="20"/>
                <w:szCs w:val="20"/>
                <w:lang w:eastAsia="ru-RU"/>
              </w:rPr>
            </w:pPr>
          </w:p>
        </w:tc>
        <w:tc>
          <w:tcPr>
            <w:tcW w:w="1275" w:type="dxa"/>
            <w:vMerge w:val="restart"/>
            <w:tcBorders>
              <w:top w:val="nil"/>
            </w:tcBorders>
            <w:shd w:val="clear" w:color="auto" w:fill="auto"/>
          </w:tcPr>
          <w:p w14:paraId="22BDE88E"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6A8F5F02" w14:textId="12E90B5D" w:rsidR="00D3173F" w:rsidRPr="00362396" w:rsidRDefault="00D3173F"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193CBE40" w14:textId="559F4B65" w:rsidR="00D3173F" w:rsidRPr="00362396" w:rsidRDefault="00D3173F" w:rsidP="00CC5BC2">
            <w:pPr>
              <w:rPr>
                <w:rFonts w:ascii="Times New Roman" w:hAnsi="Times New Roman"/>
                <w:sz w:val="18"/>
                <w:szCs w:val="18"/>
              </w:rPr>
            </w:pPr>
            <w:r w:rsidRPr="00362396">
              <w:rPr>
                <w:rFonts w:ascii="Times New Roman" w:hAnsi="Times New Roman"/>
                <w:sz w:val="18"/>
                <w:szCs w:val="18"/>
              </w:rPr>
              <w:t>Оценка коэффициента шума</w:t>
            </w:r>
          </w:p>
        </w:tc>
        <w:tc>
          <w:tcPr>
            <w:tcW w:w="2226" w:type="dxa"/>
          </w:tcPr>
          <w:p w14:paraId="4A5B4DA7"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r>
      <w:tr w:rsidR="00D3173F" w:rsidRPr="00D2655B" w14:paraId="4D0C5678" w14:textId="77777777" w:rsidTr="00651F57">
        <w:trPr>
          <w:gridAfter w:val="1"/>
          <w:wAfter w:w="35" w:type="dxa"/>
        </w:trPr>
        <w:tc>
          <w:tcPr>
            <w:tcW w:w="675" w:type="dxa"/>
            <w:vMerge/>
            <w:shd w:val="clear" w:color="auto" w:fill="auto"/>
          </w:tcPr>
          <w:p w14:paraId="63ED7001"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1594" w:type="dxa"/>
            <w:vMerge/>
            <w:tcBorders>
              <w:top w:val="nil"/>
            </w:tcBorders>
          </w:tcPr>
          <w:p w14:paraId="26EEB3F3" w14:textId="77777777" w:rsidR="00D3173F" w:rsidRDefault="00D3173F" w:rsidP="00577F98">
            <w:pPr>
              <w:spacing w:after="0" w:line="240" w:lineRule="auto"/>
              <w:jc w:val="both"/>
              <w:rPr>
                <w:rFonts w:ascii="Times New Roman" w:eastAsia="Times New Roman" w:hAnsi="Times New Roman"/>
                <w:snapToGrid w:val="0"/>
                <w:sz w:val="20"/>
                <w:szCs w:val="20"/>
                <w:lang w:eastAsia="ru-RU"/>
              </w:rPr>
            </w:pPr>
          </w:p>
        </w:tc>
        <w:tc>
          <w:tcPr>
            <w:tcW w:w="1275" w:type="dxa"/>
            <w:vMerge/>
            <w:tcBorders>
              <w:top w:val="nil"/>
            </w:tcBorders>
            <w:shd w:val="clear" w:color="auto" w:fill="auto"/>
          </w:tcPr>
          <w:p w14:paraId="2E7A4619"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3DFF83D" w14:textId="1165A1D1" w:rsidR="00D3173F" w:rsidRPr="00D3173F" w:rsidRDefault="00D3173F"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6242F6C1" w14:textId="4DDD1210" w:rsidR="00D3173F" w:rsidRPr="00362396" w:rsidRDefault="00D3173F" w:rsidP="00CC5BC2">
            <w:pPr>
              <w:rPr>
                <w:rFonts w:ascii="Times New Roman" w:hAnsi="Times New Roman"/>
                <w:sz w:val="18"/>
                <w:szCs w:val="18"/>
              </w:rPr>
            </w:pPr>
            <w:r w:rsidRPr="00362396">
              <w:rPr>
                <w:rFonts w:ascii="Times New Roman" w:hAnsi="Times New Roman"/>
                <w:sz w:val="18"/>
                <w:szCs w:val="18"/>
              </w:rPr>
              <w:t xml:space="preserve">Напряжение питания от сети переменного </w:t>
            </w:r>
            <w:r>
              <w:rPr>
                <w:rFonts w:ascii="Times New Roman" w:hAnsi="Times New Roman"/>
                <w:sz w:val="18"/>
                <w:szCs w:val="18"/>
              </w:rPr>
              <w:t>тока частотой (50±5) Гц</w:t>
            </w:r>
          </w:p>
        </w:tc>
        <w:tc>
          <w:tcPr>
            <w:tcW w:w="2226" w:type="dxa"/>
          </w:tcPr>
          <w:p w14:paraId="3E01259A"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r>
      <w:tr w:rsidR="00D3173F" w:rsidRPr="00D2655B" w14:paraId="625EC3A5" w14:textId="77777777" w:rsidTr="00651F57">
        <w:trPr>
          <w:gridAfter w:val="1"/>
          <w:wAfter w:w="35" w:type="dxa"/>
        </w:trPr>
        <w:tc>
          <w:tcPr>
            <w:tcW w:w="675" w:type="dxa"/>
            <w:vMerge/>
            <w:shd w:val="clear" w:color="auto" w:fill="auto"/>
          </w:tcPr>
          <w:p w14:paraId="0D655547"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1594" w:type="dxa"/>
            <w:vMerge/>
            <w:tcBorders>
              <w:top w:val="nil"/>
            </w:tcBorders>
          </w:tcPr>
          <w:p w14:paraId="03854C0E" w14:textId="77777777" w:rsidR="00D3173F" w:rsidRDefault="00D3173F" w:rsidP="00577F98">
            <w:pPr>
              <w:spacing w:after="0" w:line="240" w:lineRule="auto"/>
              <w:jc w:val="both"/>
              <w:rPr>
                <w:rFonts w:ascii="Times New Roman" w:eastAsia="Times New Roman" w:hAnsi="Times New Roman"/>
                <w:snapToGrid w:val="0"/>
                <w:sz w:val="20"/>
                <w:szCs w:val="20"/>
                <w:lang w:eastAsia="ru-RU"/>
              </w:rPr>
            </w:pPr>
          </w:p>
        </w:tc>
        <w:tc>
          <w:tcPr>
            <w:tcW w:w="1275" w:type="dxa"/>
            <w:vMerge/>
            <w:tcBorders>
              <w:top w:val="nil"/>
            </w:tcBorders>
            <w:shd w:val="clear" w:color="auto" w:fill="auto"/>
          </w:tcPr>
          <w:p w14:paraId="2BC35E99"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110DF30" w14:textId="02FD76CB" w:rsidR="00D3173F" w:rsidRPr="00362396" w:rsidRDefault="00D3173F"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14:paraId="7F4EF279" w14:textId="5973653A" w:rsidR="00D3173F" w:rsidRPr="00362396" w:rsidRDefault="00D3173F" w:rsidP="00CC5BC2">
            <w:pPr>
              <w:rPr>
                <w:rFonts w:ascii="Times New Roman" w:hAnsi="Times New Roman"/>
                <w:sz w:val="18"/>
                <w:szCs w:val="18"/>
              </w:rPr>
            </w:pPr>
            <w:r>
              <w:rPr>
                <w:rFonts w:ascii="Times New Roman" w:hAnsi="Times New Roman"/>
                <w:sz w:val="18"/>
                <w:szCs w:val="18"/>
              </w:rPr>
              <w:t>Потребляемая мощность</w:t>
            </w:r>
          </w:p>
        </w:tc>
        <w:tc>
          <w:tcPr>
            <w:tcW w:w="2226" w:type="dxa"/>
          </w:tcPr>
          <w:p w14:paraId="12B91B73" w14:textId="77777777" w:rsidR="00D3173F" w:rsidRPr="00D2655B" w:rsidRDefault="00D3173F" w:rsidP="00577F98">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5239D416"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5106D4">
        <w:rPr>
          <w:rFonts w:ascii="Times New Roman" w:hAnsi="Times New Roman"/>
          <w:sz w:val="20"/>
          <w:szCs w:val="20"/>
        </w:rPr>
        <w:t>628</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24EC870F"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5106D4">
        <w:rPr>
          <w:rFonts w:ascii="Times New Roman" w:hAnsi="Times New Roman"/>
          <w:sz w:val="20"/>
          <w:szCs w:val="20"/>
        </w:rPr>
        <w:t>628</w:t>
      </w:r>
      <w:r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roofErr w:type="gramEnd"/>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577F98" w:rsidRDefault="00577F98" w:rsidP="00BE4551">
      <w:pPr>
        <w:spacing w:after="0" w:line="240" w:lineRule="auto"/>
      </w:pPr>
      <w:r>
        <w:separator/>
      </w:r>
    </w:p>
  </w:endnote>
  <w:endnote w:type="continuationSeparator" w:id="0">
    <w:p w14:paraId="71BFBD20" w14:textId="77777777" w:rsidR="00577F98" w:rsidRDefault="00577F98" w:rsidP="00BE4551">
      <w:pPr>
        <w:spacing w:after="0" w:line="240" w:lineRule="auto"/>
      </w:pPr>
      <w:r>
        <w:continuationSeparator/>
      </w:r>
    </w:p>
  </w:endnote>
  <w:endnote w:type="continuationNotice" w:id="1">
    <w:p w14:paraId="715BEE7D" w14:textId="77777777" w:rsidR="00577F98" w:rsidRDefault="0057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577F98" w:rsidRDefault="00577F98" w:rsidP="00773C33">
            <w:pPr>
              <w:pStyle w:val="aff6"/>
              <w:jc w:val="right"/>
            </w:pPr>
            <w:r w:rsidRPr="00773C33">
              <w:rPr>
                <w:bCs/>
              </w:rPr>
              <w:fldChar w:fldCharType="begin"/>
            </w:r>
            <w:r w:rsidRPr="00773C33">
              <w:rPr>
                <w:bCs/>
              </w:rPr>
              <w:instrText>PAGE</w:instrText>
            </w:r>
            <w:r w:rsidRPr="00773C33">
              <w:rPr>
                <w:bCs/>
              </w:rPr>
              <w:fldChar w:fldCharType="separate"/>
            </w:r>
            <w:r w:rsidR="00AC0246">
              <w:rPr>
                <w:bCs/>
                <w:noProof/>
              </w:rPr>
              <w:t>41</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577F98" w:rsidRPr="005B6108" w:rsidRDefault="00577F98"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C0246">
              <w:rPr>
                <w:rFonts w:ascii="Times New Roman" w:hAnsi="Times New Roman"/>
                <w:bCs/>
                <w:noProof/>
                <w:sz w:val="24"/>
              </w:rPr>
              <w:t>42</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577F98" w:rsidRPr="00744924" w:rsidRDefault="00577F98" w:rsidP="00744924">
            <w:pPr>
              <w:pStyle w:val="aff6"/>
              <w:jc w:val="right"/>
            </w:pPr>
            <w:r w:rsidRPr="00756D44">
              <w:rPr>
                <w:bCs/>
              </w:rPr>
              <w:fldChar w:fldCharType="begin"/>
            </w:r>
            <w:r w:rsidRPr="00756D44">
              <w:rPr>
                <w:bCs/>
              </w:rPr>
              <w:instrText>PAGE</w:instrText>
            </w:r>
            <w:r w:rsidRPr="00756D44">
              <w:rPr>
                <w:bCs/>
              </w:rPr>
              <w:fldChar w:fldCharType="separate"/>
            </w:r>
            <w:r w:rsidR="00AC0246">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577F98" w:rsidRDefault="00577F98" w:rsidP="00BE4551">
      <w:pPr>
        <w:spacing w:after="0" w:line="240" w:lineRule="auto"/>
      </w:pPr>
      <w:r>
        <w:separator/>
      </w:r>
    </w:p>
  </w:footnote>
  <w:footnote w:type="continuationSeparator" w:id="0">
    <w:p w14:paraId="1F107422" w14:textId="77777777" w:rsidR="00577F98" w:rsidRDefault="00577F98" w:rsidP="00BE4551">
      <w:pPr>
        <w:spacing w:after="0" w:line="240" w:lineRule="auto"/>
      </w:pPr>
      <w:r>
        <w:continuationSeparator/>
      </w:r>
    </w:p>
  </w:footnote>
  <w:footnote w:type="continuationNotice" w:id="1">
    <w:p w14:paraId="2CDE0C76" w14:textId="77777777" w:rsidR="00577F98" w:rsidRDefault="00577F98">
      <w:pPr>
        <w:spacing w:after="0" w:line="240" w:lineRule="auto"/>
      </w:pPr>
    </w:p>
  </w:footnote>
  <w:footnote w:id="2">
    <w:p w14:paraId="43BE838B" w14:textId="77777777" w:rsidR="00577F98" w:rsidRPr="00AF5638" w:rsidRDefault="00577F98"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577F98" w:rsidRDefault="00577F98"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577F98" w:rsidRPr="0061579A" w:rsidRDefault="00577F98">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577F98" w:rsidRPr="00766DF6" w:rsidRDefault="00577F98"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577F98" w:rsidRDefault="00577F98"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577F98" w:rsidRDefault="00577F98"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577F98" w:rsidRDefault="00577F98"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577F98" w:rsidRPr="002F0B47" w:rsidRDefault="00577F98"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577F98" w:rsidRPr="00350134" w:rsidRDefault="00577F98"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577F98" w:rsidRPr="00F7104D" w:rsidRDefault="00577F98"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577F98" w:rsidRPr="00FE47AD" w:rsidRDefault="00577F9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577F98" w:rsidRPr="00FE47AD" w:rsidRDefault="00577F9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577F98" w:rsidRPr="001A2908" w:rsidRDefault="00577F9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396"/>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6D4"/>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77F98"/>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A7A2C"/>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1F57"/>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765"/>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9B"/>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5DA"/>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246"/>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73F"/>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08AB"/>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567"/>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7E7B-9EB8-42CE-9D0A-34E3333A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20761</Words>
  <Characters>118342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2022-09-29T07:15:00Z</dcterms:modified>
</cp:coreProperties>
</file>